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050" w:rsidRPr="00631115" w:rsidRDefault="00875050" w:rsidP="00875050">
      <w:pPr>
        <w:spacing w:after="0"/>
        <w:jc w:val="right"/>
        <w:rPr>
          <w:rFonts w:ascii="Georgia" w:hAnsi="Georgia" w:cs="Times New Roman"/>
          <w:b/>
          <w:sz w:val="24"/>
          <w:szCs w:val="24"/>
        </w:rPr>
      </w:pPr>
      <w:bookmarkStart w:id="0" w:name="_GoBack"/>
      <w:bookmarkEnd w:id="0"/>
      <w:r>
        <w:rPr>
          <w:rFonts w:ascii="Georgia" w:hAnsi="Georgia" w:cs="Times New Roman"/>
          <w:b/>
          <w:sz w:val="24"/>
          <w:szCs w:val="24"/>
        </w:rPr>
        <w:t>Effective Design of Writing Assignments</w:t>
      </w:r>
    </w:p>
    <w:p w:rsidR="00875050" w:rsidRPr="00631115" w:rsidRDefault="00875050" w:rsidP="00875050">
      <w:pPr>
        <w:spacing w:after="0"/>
        <w:jc w:val="right"/>
        <w:rPr>
          <w:rFonts w:ascii="Georgia" w:hAnsi="Georgia" w:cs="Times New Roman"/>
          <w:sz w:val="20"/>
          <w:szCs w:val="20"/>
        </w:rPr>
      </w:pPr>
      <w:r w:rsidRPr="00631115">
        <w:rPr>
          <w:rFonts w:ascii="Georgia" w:hAnsi="Georgia" w:cs="Times New Roman"/>
          <w:sz w:val="20"/>
          <w:szCs w:val="20"/>
        </w:rPr>
        <w:t>Patrick Bahls, UNC Asheville</w:t>
      </w:r>
    </w:p>
    <w:p w:rsidR="00875050" w:rsidRPr="00631115" w:rsidRDefault="00875050" w:rsidP="00875050">
      <w:pPr>
        <w:spacing w:line="360" w:lineRule="auto"/>
        <w:jc w:val="right"/>
        <w:rPr>
          <w:rFonts w:ascii="Georgia" w:hAnsi="Georgia" w:cs="Times New Roman"/>
          <w:sz w:val="20"/>
          <w:szCs w:val="20"/>
        </w:rPr>
      </w:pPr>
      <w:r w:rsidRPr="00631115">
        <w:rPr>
          <w:rFonts w:ascii="Georgia" w:hAnsi="Georgia" w:cs="Times New Roman"/>
          <w:sz w:val="20"/>
          <w:szCs w:val="20"/>
        </w:rPr>
        <w:t>pbahls@unca.edu</w:t>
      </w:r>
    </w:p>
    <w:p w:rsidR="00875050" w:rsidRDefault="00875050" w:rsidP="00875050">
      <w:pPr>
        <w:rPr>
          <w:rFonts w:ascii="Georgia" w:hAnsi="Georgia"/>
        </w:rPr>
      </w:pPr>
      <w:r w:rsidRPr="006B5D1D">
        <w:rPr>
          <w:rFonts w:ascii="Georgia" w:hAnsi="Georgia"/>
        </w:rPr>
        <w:t>While low</w:t>
      </w:r>
      <w:r>
        <w:rPr>
          <w:rFonts w:ascii="Georgia" w:hAnsi="Georgia"/>
        </w:rPr>
        <w:t>-stakes writing activities often take very little planning take very little time to complete or respond to, designing more elaborate writing assignments requires more effort. It may help to follow a process like that laid out below as you put such a project together. Of course, the process isn’t perfect; you may find that not every step is necessary, or you may repeat some steps over and over again, keeping in mind that novice writers may require more assistance than expert ones. I offer the steps below as a tentative template and not as a flawless guide for designing the perfect writing assignment.</w:t>
      </w:r>
    </w:p>
    <w:p w:rsidR="00875050" w:rsidRDefault="00875050" w:rsidP="00875050">
      <w:pPr>
        <w:rPr>
          <w:rFonts w:ascii="Georgia" w:hAnsi="Georgia"/>
        </w:rPr>
      </w:pPr>
      <w:r>
        <w:rPr>
          <w:rFonts w:ascii="Georgia" w:hAnsi="Georgia"/>
        </w:rPr>
        <w:t xml:space="preserve">For each step indicated below I illustrate the way the step manifests in an assignment I give to my Calculus I course, </w:t>
      </w:r>
      <w:r w:rsidRPr="00A204FB">
        <w:rPr>
          <w:rFonts w:ascii="Georgia" w:hAnsi="Georgia"/>
          <w:i/>
        </w:rPr>
        <w:t>Newton</w:t>
      </w:r>
      <w:r>
        <w:rPr>
          <w:rFonts w:ascii="Georgia" w:hAnsi="Georgia"/>
        </w:rPr>
        <w:t xml:space="preserve"> v. </w:t>
      </w:r>
      <w:r w:rsidRPr="00A204FB">
        <w:rPr>
          <w:rFonts w:ascii="Georgia" w:hAnsi="Georgia"/>
          <w:i/>
        </w:rPr>
        <w:t>Leibniz</w:t>
      </w:r>
      <w:r>
        <w:rPr>
          <w:rFonts w:ascii="Georgia" w:hAnsi="Georgia"/>
        </w:rPr>
        <w:t>, in which students work together as a class to reenact a civil trial between the two co-inventors of the calculus.</w:t>
      </w:r>
    </w:p>
    <w:p w:rsidR="00875050" w:rsidRDefault="00875050" w:rsidP="00875050">
      <w:pPr>
        <w:rPr>
          <w:rFonts w:ascii="Georgia" w:hAnsi="Georgia"/>
        </w:rPr>
      </w:pPr>
      <w:r w:rsidRPr="007138AF">
        <w:rPr>
          <w:rFonts w:ascii="Georgia" w:hAnsi="Georgia"/>
          <w:b/>
        </w:rPr>
        <w:t>Identify learning goals.</w:t>
      </w:r>
      <w:r>
        <w:rPr>
          <w:rFonts w:ascii="Georgia" w:hAnsi="Georgia"/>
        </w:rPr>
        <w:t xml:space="preserve"> Before you even begin to deal with an assignment’s details, you ought to identify one or more learning goals that might be met through the assignment. These might derive from course learning goals. (For more information on identifying learning goals for both courses and specific assignments, see Fink.)</w:t>
      </w:r>
    </w:p>
    <w:p w:rsidR="00875050" w:rsidRPr="00B5710D" w:rsidRDefault="00875050" w:rsidP="00875050">
      <w:pPr>
        <w:ind w:left="1440"/>
        <w:rPr>
          <w:rFonts w:ascii="Georgia" w:hAnsi="Georgia"/>
          <w:sz w:val="20"/>
          <w:szCs w:val="20"/>
        </w:rPr>
      </w:pPr>
      <w:r w:rsidRPr="00B5710D">
        <w:rPr>
          <w:rFonts w:ascii="Georgia" w:hAnsi="Georgia"/>
          <w:i/>
          <w:sz w:val="20"/>
          <w:szCs w:val="20"/>
        </w:rPr>
        <w:t xml:space="preserve">For Newton v. Leibniz: </w:t>
      </w:r>
      <w:r w:rsidRPr="00B5710D">
        <w:rPr>
          <w:rFonts w:ascii="Georgia" w:hAnsi="Georgia"/>
          <w:sz w:val="20"/>
          <w:szCs w:val="20"/>
        </w:rPr>
        <w:t>students will gain intuitive understanding of fundamental calculus concepts by engaging primary sources and students will express technical ideas expertly to a variety of audiences.</w:t>
      </w:r>
    </w:p>
    <w:p w:rsidR="00875050" w:rsidRPr="00D00461" w:rsidRDefault="00875050" w:rsidP="00875050">
      <w:pPr>
        <w:rPr>
          <w:rFonts w:ascii="Georgia" w:hAnsi="Georgia"/>
        </w:rPr>
      </w:pPr>
      <w:r w:rsidRPr="007138AF">
        <w:rPr>
          <w:rFonts w:ascii="Georgia" w:hAnsi="Georgia"/>
          <w:b/>
        </w:rPr>
        <w:t>Recognizing success.</w:t>
      </w:r>
      <w:r>
        <w:rPr>
          <w:rFonts w:ascii="Georgia" w:hAnsi="Georgia"/>
        </w:rPr>
        <w:t xml:space="preserve"> Once you have your learning goals in mind, you can decide how you might recognize whether or not students are successful in meeting those goals. That is, what are your expectations for performance on the assignment, and h</w:t>
      </w:r>
      <w:r w:rsidRPr="006B5D1D">
        <w:rPr>
          <w:rFonts w:ascii="Georgia" w:hAnsi="Georgia"/>
        </w:rPr>
        <w:t xml:space="preserve">ow can you make your expectations </w:t>
      </w:r>
      <w:r>
        <w:rPr>
          <w:rFonts w:ascii="Georgia" w:hAnsi="Georgia"/>
        </w:rPr>
        <w:t xml:space="preserve">clear from the outset? Perhaps </w:t>
      </w:r>
      <w:r w:rsidRPr="00D00461">
        <w:rPr>
          <w:rFonts w:ascii="Georgia" w:hAnsi="Georgia"/>
        </w:rPr>
        <w:t xml:space="preserve">you </w:t>
      </w:r>
      <w:r>
        <w:rPr>
          <w:rFonts w:ascii="Georgia" w:hAnsi="Georgia"/>
        </w:rPr>
        <w:t xml:space="preserve">could </w:t>
      </w:r>
      <w:r w:rsidRPr="00D00461">
        <w:rPr>
          <w:rFonts w:ascii="Georgia" w:hAnsi="Georgia"/>
        </w:rPr>
        <w:t>hold a brief in-class conve</w:t>
      </w:r>
      <w:r>
        <w:rPr>
          <w:rFonts w:ascii="Georgia" w:hAnsi="Georgia"/>
        </w:rPr>
        <w:t xml:space="preserve">rsation about your expectations. </w:t>
      </w:r>
      <w:r w:rsidRPr="006B5D1D">
        <w:rPr>
          <w:rFonts w:ascii="Georgia" w:hAnsi="Georgia"/>
        </w:rPr>
        <w:t xml:space="preserve">If you </w:t>
      </w:r>
      <w:r>
        <w:rPr>
          <w:rFonts w:ascii="Georgia" w:hAnsi="Georgia"/>
        </w:rPr>
        <w:t xml:space="preserve">plan to </w:t>
      </w:r>
      <w:r w:rsidRPr="006B5D1D">
        <w:rPr>
          <w:rFonts w:ascii="Georgia" w:hAnsi="Georgia"/>
        </w:rPr>
        <w:t>use a rubric</w:t>
      </w:r>
      <w:r>
        <w:rPr>
          <w:rFonts w:ascii="Georgia" w:hAnsi="Georgia"/>
        </w:rPr>
        <w:t xml:space="preserve"> to assess your students’ writing</w:t>
      </w:r>
      <w:r w:rsidRPr="006B5D1D">
        <w:rPr>
          <w:rFonts w:ascii="Georgia" w:hAnsi="Georgia"/>
        </w:rPr>
        <w:t xml:space="preserve">, </w:t>
      </w:r>
      <w:r>
        <w:rPr>
          <w:rFonts w:ascii="Georgia" w:hAnsi="Georgia"/>
        </w:rPr>
        <w:t xml:space="preserve">perhaps your </w:t>
      </w:r>
      <w:r w:rsidRPr="00D00461">
        <w:rPr>
          <w:rFonts w:ascii="Georgia" w:hAnsi="Georgia"/>
        </w:rPr>
        <w:t xml:space="preserve">students </w:t>
      </w:r>
      <w:r>
        <w:rPr>
          <w:rFonts w:ascii="Georgia" w:hAnsi="Georgia"/>
        </w:rPr>
        <w:t>could help to produce such a rubric.</w:t>
      </w:r>
    </w:p>
    <w:p w:rsidR="00875050" w:rsidRPr="00B5710D" w:rsidRDefault="00875050" w:rsidP="00875050">
      <w:pPr>
        <w:ind w:left="1440"/>
        <w:rPr>
          <w:rFonts w:ascii="Georgia" w:hAnsi="Georgia"/>
          <w:sz w:val="20"/>
          <w:szCs w:val="20"/>
        </w:rPr>
      </w:pPr>
      <w:r w:rsidRPr="00B5710D">
        <w:rPr>
          <w:rFonts w:ascii="Georgia" w:hAnsi="Georgia"/>
          <w:i/>
          <w:sz w:val="20"/>
          <w:szCs w:val="20"/>
        </w:rPr>
        <w:t xml:space="preserve">For Newton v. Leibniz: </w:t>
      </w:r>
      <w:r w:rsidRPr="00B5710D">
        <w:rPr>
          <w:rFonts w:ascii="Georgia" w:hAnsi="Georgia"/>
          <w:sz w:val="20"/>
          <w:szCs w:val="20"/>
        </w:rPr>
        <w:t>students help draft a rubric that I will apply to the various written pieces they will submit.</w:t>
      </w:r>
    </w:p>
    <w:p w:rsidR="00875050" w:rsidRPr="00D00461" w:rsidRDefault="00875050" w:rsidP="00875050">
      <w:pPr>
        <w:rPr>
          <w:rFonts w:ascii="Georgia" w:hAnsi="Georgia"/>
        </w:rPr>
      </w:pPr>
      <w:r w:rsidRPr="007138AF">
        <w:rPr>
          <w:rFonts w:ascii="Georgia" w:hAnsi="Georgia"/>
          <w:b/>
        </w:rPr>
        <w:t>Getting started.</w:t>
      </w:r>
      <w:r>
        <w:rPr>
          <w:rFonts w:ascii="Georgia" w:hAnsi="Georgia"/>
        </w:rPr>
        <w:t xml:space="preserve"> For many students, getting starting is the hardest step. In-class low-stakes writing exercises like f</w:t>
      </w:r>
      <w:r w:rsidRPr="00D00461">
        <w:rPr>
          <w:rFonts w:ascii="Georgia" w:hAnsi="Georgia"/>
        </w:rPr>
        <w:t>r</w:t>
      </w:r>
      <w:r>
        <w:rPr>
          <w:rFonts w:ascii="Georgia" w:hAnsi="Georgia"/>
        </w:rPr>
        <w:t>eewriting, concept mapping, and clustering can help students generate ideas, and you may wish to spend a little time in class on such exercises. More formally, as a first step you might ask students to complete a preliminary project proposal in which they indicate how they plan to respond to the assignment. Making these first steps concrete and explicit helps many students gain the traction they need to get their writing off and running.</w:t>
      </w:r>
    </w:p>
    <w:p w:rsidR="00875050" w:rsidRPr="00B5710D" w:rsidRDefault="00875050" w:rsidP="00875050">
      <w:pPr>
        <w:ind w:left="1440"/>
        <w:rPr>
          <w:rFonts w:ascii="Georgia" w:hAnsi="Georgia"/>
          <w:sz w:val="20"/>
          <w:szCs w:val="20"/>
        </w:rPr>
      </w:pPr>
      <w:r w:rsidRPr="00B5710D">
        <w:rPr>
          <w:rFonts w:ascii="Georgia" w:hAnsi="Georgia"/>
          <w:i/>
          <w:sz w:val="20"/>
          <w:szCs w:val="20"/>
        </w:rPr>
        <w:t xml:space="preserve">For Newton v. Leibniz: </w:t>
      </w:r>
      <w:r w:rsidRPr="00B5710D">
        <w:rPr>
          <w:rFonts w:ascii="Georgia" w:hAnsi="Georgia"/>
          <w:sz w:val="20"/>
          <w:szCs w:val="20"/>
        </w:rPr>
        <w:t xml:space="preserve">students write a brief collaborative proposal in which they vie for a particular “role” in the trial (Newton and his attorneys, Leibniz and his attorneys, historical experts, </w:t>
      </w:r>
      <w:r w:rsidRPr="00B5710D">
        <w:rPr>
          <w:rFonts w:ascii="Georgia" w:hAnsi="Georgia"/>
          <w:i/>
          <w:sz w:val="20"/>
          <w:szCs w:val="20"/>
        </w:rPr>
        <w:t>etc</w:t>
      </w:r>
      <w:r w:rsidRPr="00B5710D">
        <w:rPr>
          <w:rFonts w:ascii="Georgia" w:hAnsi="Georgia"/>
          <w:sz w:val="20"/>
          <w:szCs w:val="20"/>
        </w:rPr>
        <w:t>.). This is done outside of class.</w:t>
      </w:r>
    </w:p>
    <w:p w:rsidR="00875050" w:rsidRPr="00D00461" w:rsidRDefault="00875050" w:rsidP="00875050">
      <w:pPr>
        <w:rPr>
          <w:rFonts w:ascii="Georgia" w:hAnsi="Georgia"/>
        </w:rPr>
      </w:pPr>
      <w:r>
        <w:rPr>
          <w:rFonts w:ascii="Georgia" w:hAnsi="Georgia"/>
          <w:b/>
        </w:rPr>
        <w:t>Seeking out and synthesizing ideas</w:t>
      </w:r>
      <w:r w:rsidRPr="007138AF">
        <w:rPr>
          <w:rFonts w:ascii="Georgia" w:hAnsi="Georgia"/>
          <w:b/>
        </w:rPr>
        <w:t>.</w:t>
      </w:r>
      <w:r>
        <w:rPr>
          <w:rFonts w:ascii="Georgia" w:hAnsi="Georgia"/>
        </w:rPr>
        <w:t xml:space="preserve"> Y</w:t>
      </w:r>
      <w:r w:rsidRPr="00D00461">
        <w:rPr>
          <w:rFonts w:ascii="Georgia" w:hAnsi="Georgia"/>
        </w:rPr>
        <w:t xml:space="preserve">our students </w:t>
      </w:r>
      <w:r>
        <w:rPr>
          <w:rFonts w:ascii="Georgia" w:hAnsi="Georgia"/>
        </w:rPr>
        <w:t xml:space="preserve">may </w:t>
      </w:r>
      <w:r w:rsidRPr="00D00461">
        <w:rPr>
          <w:rFonts w:ascii="Georgia" w:hAnsi="Georgia"/>
        </w:rPr>
        <w:t xml:space="preserve">need help in </w:t>
      </w:r>
      <w:r>
        <w:rPr>
          <w:rFonts w:ascii="Georgia" w:hAnsi="Georgia"/>
        </w:rPr>
        <w:t>obtaining and organizing the information they need to complete their assignment. It might help for you require as explicit project components things like o</w:t>
      </w:r>
      <w:r w:rsidRPr="00D00461">
        <w:rPr>
          <w:rFonts w:ascii="Georgia" w:hAnsi="Georgia"/>
        </w:rPr>
        <w:t xml:space="preserve">utlines, literature reviews, </w:t>
      </w:r>
      <w:r>
        <w:rPr>
          <w:rFonts w:ascii="Georgia" w:hAnsi="Georgia"/>
        </w:rPr>
        <w:t xml:space="preserve">or </w:t>
      </w:r>
      <w:r w:rsidRPr="00D00461">
        <w:rPr>
          <w:rFonts w:ascii="Georgia" w:hAnsi="Georgia"/>
        </w:rPr>
        <w:t>annotated b</w:t>
      </w:r>
      <w:r>
        <w:rPr>
          <w:rFonts w:ascii="Georgia" w:hAnsi="Georgia"/>
        </w:rPr>
        <w:t xml:space="preserve">ibliographies, as appropriate to your field. There are a number of other organizational strategies that may help students make sense of whatever information they find. (See, for example, Coghill, </w:t>
      </w:r>
      <w:r w:rsidRPr="009B2655">
        <w:rPr>
          <w:rFonts w:ascii="Georgia" w:hAnsi="Georgia"/>
          <w:i/>
        </w:rPr>
        <w:t>et al</w:t>
      </w:r>
      <w:r>
        <w:rPr>
          <w:rFonts w:ascii="Georgia" w:hAnsi="Georgia"/>
        </w:rPr>
        <w:t>., referenced below.)</w:t>
      </w:r>
    </w:p>
    <w:p w:rsidR="00875050" w:rsidRPr="00B5710D" w:rsidRDefault="00875050" w:rsidP="00875050">
      <w:pPr>
        <w:ind w:left="1440"/>
        <w:rPr>
          <w:rFonts w:ascii="Georgia" w:hAnsi="Georgia"/>
          <w:sz w:val="20"/>
          <w:szCs w:val="20"/>
        </w:rPr>
      </w:pPr>
      <w:r w:rsidRPr="00B5710D">
        <w:rPr>
          <w:rFonts w:ascii="Georgia" w:hAnsi="Georgia"/>
          <w:i/>
          <w:sz w:val="20"/>
          <w:szCs w:val="20"/>
        </w:rPr>
        <w:lastRenderedPageBreak/>
        <w:t xml:space="preserve">For Newton v. Leibniz: </w:t>
      </w:r>
      <w:r w:rsidRPr="00B5710D">
        <w:rPr>
          <w:rFonts w:ascii="Georgia" w:hAnsi="Georgia"/>
          <w:sz w:val="20"/>
          <w:szCs w:val="20"/>
        </w:rPr>
        <w:t>in class, students discuss finding and evaluating sources and outside of class, students write a brief annotated bibliography detailing the sources they find.</w:t>
      </w:r>
    </w:p>
    <w:p w:rsidR="00875050" w:rsidRPr="00D00461" w:rsidRDefault="00875050" w:rsidP="00875050">
      <w:pPr>
        <w:rPr>
          <w:rFonts w:ascii="Georgia" w:hAnsi="Georgia"/>
        </w:rPr>
      </w:pPr>
      <w:r w:rsidRPr="009B2655">
        <w:rPr>
          <w:rFonts w:ascii="Georgia" w:hAnsi="Georgia"/>
          <w:b/>
        </w:rPr>
        <w:t>Providing feedback.</w:t>
      </w:r>
      <w:r>
        <w:rPr>
          <w:rFonts w:ascii="Georgia" w:hAnsi="Georgia"/>
        </w:rPr>
        <w:t xml:space="preserve"> </w:t>
      </w:r>
      <w:r w:rsidRPr="00D00461">
        <w:rPr>
          <w:rFonts w:ascii="Georgia" w:hAnsi="Georgia"/>
        </w:rPr>
        <w:t xml:space="preserve">As </w:t>
      </w:r>
      <w:r>
        <w:rPr>
          <w:rFonts w:ascii="Georgia" w:hAnsi="Georgia"/>
        </w:rPr>
        <w:t>your students write, it will help them to provide one or more opportunities to receive feedback on their ongoing work. This feedback can come in various forms from various sources. You may wish to c</w:t>
      </w:r>
      <w:r w:rsidRPr="00D00461">
        <w:rPr>
          <w:rFonts w:ascii="Georgia" w:hAnsi="Georgia"/>
        </w:rPr>
        <w:t xml:space="preserve">onsider </w:t>
      </w:r>
      <w:r>
        <w:rPr>
          <w:rFonts w:ascii="Georgia" w:hAnsi="Georgia"/>
        </w:rPr>
        <w:t xml:space="preserve">giving </w:t>
      </w:r>
      <w:r w:rsidRPr="00D00461">
        <w:rPr>
          <w:rFonts w:ascii="Georgia" w:hAnsi="Georgia"/>
        </w:rPr>
        <w:t>feedback through face-to-face confere</w:t>
      </w:r>
      <w:r>
        <w:rPr>
          <w:rFonts w:ascii="Georgia" w:hAnsi="Georgia"/>
        </w:rPr>
        <w:t>nces, an activity made easier by conferencing with students in small groups. Peer review may also prove effective. (See Topping for guidelines on how to get the most out of peer review; Bahls offers more strategies appropriate for quantitative-intensive courses.</w:t>
      </w:r>
      <w:r w:rsidRPr="00D00461">
        <w:rPr>
          <w:rFonts w:ascii="Georgia" w:hAnsi="Georgia"/>
        </w:rPr>
        <w:t>)</w:t>
      </w:r>
    </w:p>
    <w:p w:rsidR="00875050" w:rsidRPr="00B5710D" w:rsidRDefault="00875050" w:rsidP="00875050">
      <w:pPr>
        <w:ind w:left="1440"/>
        <w:rPr>
          <w:rFonts w:ascii="Georgia" w:hAnsi="Georgia"/>
          <w:sz w:val="20"/>
          <w:szCs w:val="20"/>
        </w:rPr>
      </w:pPr>
      <w:r w:rsidRPr="00B5710D">
        <w:rPr>
          <w:rFonts w:ascii="Georgia" w:hAnsi="Georgia"/>
          <w:i/>
          <w:sz w:val="20"/>
          <w:szCs w:val="20"/>
        </w:rPr>
        <w:t xml:space="preserve">For Newton v. Leibniz: </w:t>
      </w:r>
      <w:r w:rsidRPr="00B5710D">
        <w:rPr>
          <w:rFonts w:ascii="Georgia" w:hAnsi="Georgia"/>
          <w:sz w:val="20"/>
          <w:szCs w:val="20"/>
        </w:rPr>
        <w:t>students submit a preliminary piece, appropriate to the role they’ve been assigned, to which I respond with qualitative feedback.</w:t>
      </w:r>
    </w:p>
    <w:p w:rsidR="00875050" w:rsidRDefault="00875050" w:rsidP="00875050">
      <w:pPr>
        <w:rPr>
          <w:rFonts w:ascii="Georgia" w:hAnsi="Georgia"/>
        </w:rPr>
      </w:pPr>
      <w:r w:rsidRPr="009B2655">
        <w:rPr>
          <w:rFonts w:ascii="Georgia" w:hAnsi="Georgia"/>
          <w:b/>
        </w:rPr>
        <w:t>Assessing and Responding.</w:t>
      </w:r>
      <w:r>
        <w:rPr>
          <w:rFonts w:ascii="Georgia" w:hAnsi="Georgia"/>
        </w:rPr>
        <w:t xml:space="preserve"> Once students have completed their projects, they are owed some sort of response to their writing. Well-written rubrics might help you to assess the quality of students’ work. Audio comments or responses through screencast software (like Jing, referenced below) can make responses richer and more authentic.</w:t>
      </w:r>
    </w:p>
    <w:p w:rsidR="00875050" w:rsidRPr="00B5710D" w:rsidRDefault="00875050" w:rsidP="00875050">
      <w:pPr>
        <w:ind w:left="1440"/>
        <w:rPr>
          <w:rFonts w:ascii="Georgia" w:hAnsi="Georgia"/>
          <w:sz w:val="20"/>
          <w:szCs w:val="20"/>
        </w:rPr>
      </w:pPr>
      <w:r w:rsidRPr="00B5710D">
        <w:rPr>
          <w:rFonts w:ascii="Georgia" w:hAnsi="Georgia"/>
          <w:i/>
          <w:sz w:val="20"/>
          <w:szCs w:val="20"/>
        </w:rPr>
        <w:t xml:space="preserve">For Newton v. Leibniz: </w:t>
      </w:r>
      <w:r w:rsidRPr="00B5710D">
        <w:rPr>
          <w:rFonts w:ascii="Georgia" w:hAnsi="Georgia"/>
          <w:sz w:val="20"/>
          <w:szCs w:val="20"/>
        </w:rPr>
        <w:t>I apply a simple rubric to the students’ final written pieces and students perform self-assessment in the form of a low-stakes written reflection.</w:t>
      </w:r>
    </w:p>
    <w:p w:rsidR="00875050" w:rsidRDefault="00875050" w:rsidP="00875050">
      <w:pPr>
        <w:rPr>
          <w:rFonts w:ascii="Georgia" w:hAnsi="Georgia"/>
        </w:rPr>
      </w:pPr>
      <w:r w:rsidRPr="00ED3598">
        <w:rPr>
          <w:rFonts w:ascii="Georgia" w:hAnsi="Georgia"/>
          <w:b/>
        </w:rPr>
        <w:t>Following on.</w:t>
      </w:r>
      <w:r>
        <w:rPr>
          <w:rFonts w:ascii="Georgia" w:hAnsi="Georgia"/>
        </w:rPr>
        <w:t xml:space="preserve"> As one assignment comes to a close, you may ask yourself how the</w:t>
      </w:r>
      <w:r w:rsidRPr="00D00461">
        <w:rPr>
          <w:rFonts w:ascii="Georgia" w:hAnsi="Georgia"/>
        </w:rPr>
        <w:t xml:space="preserve"> assignment </w:t>
      </w:r>
      <w:r>
        <w:rPr>
          <w:rFonts w:ascii="Georgia" w:hAnsi="Georgia"/>
        </w:rPr>
        <w:t xml:space="preserve">might </w:t>
      </w:r>
      <w:r w:rsidRPr="00D00461">
        <w:rPr>
          <w:rFonts w:ascii="Georgia" w:hAnsi="Georgia"/>
        </w:rPr>
        <w:t>lead</w:t>
      </w:r>
      <w:r>
        <w:rPr>
          <w:rFonts w:ascii="Georgia" w:hAnsi="Georgia"/>
        </w:rPr>
        <w:t xml:space="preserve"> to the next one. Thoughtful sequencing of course activities will help students see the connections among course concepts. </w:t>
      </w:r>
      <w:r w:rsidRPr="00D00461">
        <w:rPr>
          <w:rFonts w:ascii="Georgia" w:hAnsi="Georgia"/>
        </w:rPr>
        <w:t>More broadly still,</w:t>
      </w:r>
      <w:r>
        <w:rPr>
          <w:rFonts w:ascii="Georgia" w:hAnsi="Georgia"/>
        </w:rPr>
        <w:t xml:space="preserve"> you may even work with your colleagues to articulate writing assignments across courses in your major</w:t>
      </w:r>
      <w:r w:rsidRPr="00D00461">
        <w:rPr>
          <w:rFonts w:ascii="Georgia" w:hAnsi="Georgia"/>
        </w:rPr>
        <w:t>.</w:t>
      </w:r>
      <w:r>
        <w:rPr>
          <w:rFonts w:ascii="Georgia" w:hAnsi="Georgia"/>
        </w:rPr>
        <w:t xml:space="preserve"> (See Anson and Dannels for such program-level organization of writing.)</w:t>
      </w:r>
    </w:p>
    <w:p w:rsidR="00875050" w:rsidRPr="00B5710D" w:rsidRDefault="00875050" w:rsidP="00875050">
      <w:pPr>
        <w:ind w:left="1440"/>
        <w:rPr>
          <w:rFonts w:ascii="Georgia" w:hAnsi="Georgia"/>
          <w:i/>
          <w:sz w:val="20"/>
          <w:szCs w:val="20"/>
        </w:rPr>
      </w:pPr>
      <w:r w:rsidRPr="00B5710D">
        <w:rPr>
          <w:rFonts w:ascii="Georgia" w:hAnsi="Georgia"/>
          <w:i/>
          <w:sz w:val="20"/>
          <w:szCs w:val="20"/>
        </w:rPr>
        <w:t xml:space="preserve">For Newton v. Leibniz: </w:t>
      </w:r>
      <w:r w:rsidRPr="00B5710D">
        <w:rPr>
          <w:rFonts w:ascii="Georgia" w:hAnsi="Georgia"/>
          <w:sz w:val="20"/>
          <w:szCs w:val="20"/>
        </w:rPr>
        <w:t>there is no follow-on of this activity.</w:t>
      </w:r>
    </w:p>
    <w:p w:rsidR="00875050" w:rsidRPr="008D426D" w:rsidRDefault="00875050" w:rsidP="008D426D">
      <w:pPr>
        <w:spacing w:after="0"/>
        <w:rPr>
          <w:rFonts w:ascii="Georgia" w:hAnsi="Georgia"/>
          <w:b/>
          <w:sz w:val="24"/>
          <w:szCs w:val="24"/>
        </w:rPr>
      </w:pPr>
      <w:r w:rsidRPr="008D426D">
        <w:rPr>
          <w:rFonts w:ascii="Georgia" w:hAnsi="Georgia"/>
          <w:b/>
          <w:sz w:val="24"/>
          <w:szCs w:val="24"/>
        </w:rPr>
        <w:t>Resources</w:t>
      </w:r>
    </w:p>
    <w:p w:rsidR="00875050" w:rsidRPr="008D426D" w:rsidRDefault="00875050" w:rsidP="008D426D">
      <w:pPr>
        <w:pStyle w:val="Reference"/>
        <w:spacing w:before="0" w:after="0" w:line="276" w:lineRule="auto"/>
        <w:rPr>
          <w:rFonts w:ascii="Georgia" w:hAnsi="Georgia"/>
          <w:sz w:val="22"/>
          <w:szCs w:val="22"/>
        </w:rPr>
      </w:pPr>
      <w:r w:rsidRPr="008D426D">
        <w:rPr>
          <w:rFonts w:ascii="Georgia" w:hAnsi="Georgia"/>
          <w:sz w:val="22"/>
          <w:szCs w:val="22"/>
        </w:rPr>
        <w:t xml:space="preserve">Anson, C. M., and Dannels, D. “Profiling Programs: Formative Uses of Departmental Consultations in the Assessment of Communication Across the Curriculum.” </w:t>
      </w:r>
      <w:r w:rsidRPr="008D426D">
        <w:rPr>
          <w:rFonts w:ascii="Georgia" w:hAnsi="Georgia"/>
          <w:i/>
          <w:sz w:val="22"/>
          <w:szCs w:val="22"/>
        </w:rPr>
        <w:t>Across the Disciplines</w:t>
      </w:r>
      <w:r w:rsidRPr="008D426D">
        <w:rPr>
          <w:rFonts w:ascii="Georgia" w:hAnsi="Georgia"/>
          <w:sz w:val="22"/>
          <w:szCs w:val="22"/>
        </w:rPr>
        <w:t>, 2009, 6. [</w:t>
      </w:r>
      <w:r w:rsidRPr="008D426D">
        <w:rPr>
          <w:rStyle w:val="InlineURL"/>
          <w:rFonts w:ascii="Georgia" w:hAnsi="Georgia"/>
          <w:sz w:val="22"/>
          <w:szCs w:val="22"/>
        </w:rPr>
        <w:t>http://wac.colostate.edu/atd/assessment/anson_dannels.cfm</w:t>
      </w:r>
      <w:r w:rsidRPr="008D426D">
        <w:rPr>
          <w:rFonts w:ascii="Georgia" w:hAnsi="Georgia"/>
          <w:sz w:val="22"/>
          <w:szCs w:val="22"/>
        </w:rPr>
        <w:t>]. Mar. 2011.</w:t>
      </w:r>
    </w:p>
    <w:p w:rsidR="00875050" w:rsidRPr="008D426D" w:rsidRDefault="00875050" w:rsidP="00875050">
      <w:pPr>
        <w:pStyle w:val="Reference"/>
        <w:spacing w:before="0" w:line="276" w:lineRule="auto"/>
        <w:rPr>
          <w:rFonts w:ascii="Georgia" w:hAnsi="Georgia"/>
          <w:sz w:val="22"/>
          <w:szCs w:val="22"/>
        </w:rPr>
      </w:pPr>
      <w:r w:rsidRPr="008D426D">
        <w:rPr>
          <w:rFonts w:ascii="Georgia" w:hAnsi="Georgia"/>
          <w:sz w:val="22"/>
          <w:szCs w:val="22"/>
        </w:rPr>
        <w:t xml:space="preserve">Bahls, P., </w:t>
      </w:r>
      <w:r w:rsidRPr="008D426D">
        <w:rPr>
          <w:rFonts w:ascii="Georgia" w:hAnsi="Georgia"/>
          <w:i/>
          <w:sz w:val="22"/>
          <w:szCs w:val="22"/>
        </w:rPr>
        <w:t>Student Writing in the Quantitative Disciplines: A Guide for College Faculty.</w:t>
      </w:r>
      <w:r w:rsidRPr="008D426D">
        <w:rPr>
          <w:rFonts w:ascii="Georgia" w:hAnsi="Georgia"/>
          <w:sz w:val="22"/>
          <w:szCs w:val="22"/>
        </w:rPr>
        <w:t xml:space="preserve"> San Franciso: Jossey-Bass, 2012.</w:t>
      </w:r>
    </w:p>
    <w:p w:rsidR="00875050" w:rsidRPr="008D426D" w:rsidRDefault="00875050" w:rsidP="00875050">
      <w:pPr>
        <w:pStyle w:val="Reference"/>
        <w:spacing w:before="0" w:line="276" w:lineRule="auto"/>
        <w:rPr>
          <w:rFonts w:ascii="Georgia" w:hAnsi="Georgia"/>
          <w:sz w:val="22"/>
          <w:szCs w:val="22"/>
        </w:rPr>
      </w:pPr>
      <w:r w:rsidRPr="008D426D">
        <w:rPr>
          <w:rFonts w:ascii="Georgia" w:hAnsi="Georgia"/>
          <w:sz w:val="22"/>
          <w:szCs w:val="22"/>
        </w:rPr>
        <w:t>Coghill, D. E., Orzolek, B., Prichard, F., and Westmoreland, L. “Research Writing: The Whole in the Middle.” Paper presented at the Tenth International Writing Across the Curriculum Conference, Bloomington, IN, May 2010.</w:t>
      </w:r>
    </w:p>
    <w:p w:rsidR="00875050" w:rsidRPr="008D426D" w:rsidRDefault="00875050" w:rsidP="00875050">
      <w:pPr>
        <w:pStyle w:val="Reference"/>
        <w:rPr>
          <w:rFonts w:ascii="Georgia" w:hAnsi="Georgia"/>
          <w:sz w:val="22"/>
          <w:szCs w:val="22"/>
        </w:rPr>
      </w:pPr>
      <w:r w:rsidRPr="008D426D">
        <w:rPr>
          <w:rFonts w:ascii="Georgia" w:hAnsi="Georgia"/>
          <w:sz w:val="22"/>
          <w:szCs w:val="22"/>
        </w:rPr>
        <w:t xml:space="preserve">Fink, L. D. </w:t>
      </w:r>
      <w:r w:rsidRPr="008D426D">
        <w:rPr>
          <w:rFonts w:ascii="Georgia" w:hAnsi="Georgia"/>
          <w:i/>
          <w:sz w:val="22"/>
          <w:szCs w:val="22"/>
        </w:rPr>
        <w:t>Creating Significant Learning Experiences: An Integrated Approach to Designing College Courses.</w:t>
      </w:r>
      <w:r w:rsidRPr="008D426D">
        <w:rPr>
          <w:rFonts w:ascii="Georgia" w:hAnsi="Georgia"/>
          <w:sz w:val="22"/>
          <w:szCs w:val="22"/>
        </w:rPr>
        <w:t xml:space="preserve"> San Francisco: Jossey-Bass, 2003.</w:t>
      </w:r>
    </w:p>
    <w:p w:rsidR="00875050" w:rsidRPr="008D426D" w:rsidRDefault="00875050" w:rsidP="00875050">
      <w:pPr>
        <w:pStyle w:val="Reference"/>
        <w:rPr>
          <w:rFonts w:ascii="Georgia" w:hAnsi="Georgia"/>
          <w:sz w:val="22"/>
          <w:szCs w:val="22"/>
        </w:rPr>
      </w:pPr>
      <w:r w:rsidRPr="008D426D">
        <w:rPr>
          <w:rFonts w:ascii="Georgia" w:hAnsi="Georgia"/>
          <w:sz w:val="22"/>
          <w:szCs w:val="22"/>
        </w:rPr>
        <w:t xml:space="preserve">Jing (screenshot and screencast software from TechSmith), </w:t>
      </w:r>
      <w:hyperlink r:id="rId5" w:history="1">
        <w:r w:rsidRPr="008D426D">
          <w:rPr>
            <w:rStyle w:val="Hyperlink"/>
            <w:rFonts w:ascii="Georgia" w:hAnsi="Georgia"/>
            <w:sz w:val="22"/>
            <w:szCs w:val="22"/>
          </w:rPr>
          <w:t>http://www.techsmith.com/jing.html</w:t>
        </w:r>
      </w:hyperlink>
      <w:r w:rsidRPr="008D426D">
        <w:rPr>
          <w:rFonts w:ascii="Georgia" w:hAnsi="Georgia"/>
          <w:sz w:val="22"/>
          <w:szCs w:val="22"/>
        </w:rPr>
        <w:t>, accessed May 2013.</w:t>
      </w:r>
    </w:p>
    <w:p w:rsidR="00875050" w:rsidRPr="008D426D" w:rsidRDefault="00875050" w:rsidP="00875050">
      <w:pPr>
        <w:pStyle w:val="Reference"/>
        <w:spacing w:before="0" w:line="276" w:lineRule="auto"/>
        <w:rPr>
          <w:rFonts w:ascii="Georgia" w:hAnsi="Georgia"/>
          <w:sz w:val="22"/>
          <w:szCs w:val="22"/>
        </w:rPr>
      </w:pPr>
      <w:r w:rsidRPr="008D426D">
        <w:rPr>
          <w:rFonts w:ascii="Georgia" w:hAnsi="Georgia"/>
          <w:sz w:val="22"/>
          <w:szCs w:val="22"/>
        </w:rPr>
        <w:t xml:space="preserve">Topping, K. “Peer Assessment Between Students in Colleges and Universities.” </w:t>
      </w:r>
      <w:r w:rsidRPr="008D426D">
        <w:rPr>
          <w:rFonts w:ascii="Georgia" w:hAnsi="Georgia"/>
          <w:i/>
          <w:sz w:val="22"/>
          <w:szCs w:val="22"/>
        </w:rPr>
        <w:t>Review of Educational Research</w:t>
      </w:r>
      <w:r w:rsidRPr="008D426D">
        <w:rPr>
          <w:rFonts w:ascii="Georgia" w:hAnsi="Georgia"/>
          <w:sz w:val="22"/>
          <w:szCs w:val="22"/>
        </w:rPr>
        <w:t>,</w:t>
      </w:r>
      <w:r w:rsidRPr="008D426D">
        <w:rPr>
          <w:rFonts w:ascii="Georgia" w:hAnsi="Georgia"/>
          <w:i/>
          <w:sz w:val="22"/>
          <w:szCs w:val="22"/>
        </w:rPr>
        <w:t xml:space="preserve"> </w:t>
      </w:r>
      <w:r w:rsidRPr="008D426D">
        <w:rPr>
          <w:rFonts w:ascii="Georgia" w:hAnsi="Georgia"/>
          <w:sz w:val="22"/>
          <w:szCs w:val="22"/>
        </w:rPr>
        <w:t>1998, 68, 249–276.</w:t>
      </w:r>
    </w:p>
    <w:p w:rsidR="00D541C0" w:rsidRDefault="00D541C0"/>
    <w:sectPr w:rsidR="00D541C0" w:rsidSect="00D541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050"/>
    <w:rsid w:val="00875050"/>
    <w:rsid w:val="008D426D"/>
    <w:rsid w:val="009102BE"/>
    <w:rsid w:val="00976432"/>
    <w:rsid w:val="00D541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50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75050"/>
    <w:rPr>
      <w:color w:val="0000FF"/>
      <w:u w:val="single"/>
    </w:rPr>
  </w:style>
  <w:style w:type="paragraph" w:customStyle="1" w:styleId="Reference">
    <w:name w:val="Reference"/>
    <w:basedOn w:val="Normal"/>
    <w:rsid w:val="00875050"/>
    <w:pPr>
      <w:spacing w:before="120" w:after="120"/>
      <w:ind w:left="720" w:hanging="720"/>
    </w:pPr>
    <w:rPr>
      <w:rFonts w:ascii="Times New Roman" w:eastAsia="Times New Roman" w:hAnsi="Times New Roman" w:cs="Times New Roman"/>
      <w:sz w:val="24"/>
      <w:szCs w:val="20"/>
    </w:rPr>
  </w:style>
  <w:style w:type="character" w:customStyle="1" w:styleId="InlineURL">
    <w:name w:val="InlineURL"/>
    <w:basedOn w:val="DefaultParagraphFont"/>
    <w:rsid w:val="00875050"/>
    <w:rPr>
      <w:rFonts w:ascii="Courier New" w:hAnsi="Courier New"/>
      <w:noProof/>
      <w:color w:val="auto"/>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50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75050"/>
    <w:rPr>
      <w:color w:val="0000FF"/>
      <w:u w:val="single"/>
    </w:rPr>
  </w:style>
  <w:style w:type="paragraph" w:customStyle="1" w:styleId="Reference">
    <w:name w:val="Reference"/>
    <w:basedOn w:val="Normal"/>
    <w:rsid w:val="00875050"/>
    <w:pPr>
      <w:spacing w:before="120" w:after="120"/>
      <w:ind w:left="720" w:hanging="720"/>
    </w:pPr>
    <w:rPr>
      <w:rFonts w:ascii="Times New Roman" w:eastAsia="Times New Roman" w:hAnsi="Times New Roman" w:cs="Times New Roman"/>
      <w:sz w:val="24"/>
      <w:szCs w:val="20"/>
    </w:rPr>
  </w:style>
  <w:style w:type="character" w:customStyle="1" w:styleId="InlineURL">
    <w:name w:val="InlineURL"/>
    <w:basedOn w:val="DefaultParagraphFont"/>
    <w:rsid w:val="00875050"/>
    <w:rPr>
      <w:rFonts w:ascii="Courier New" w:hAnsi="Courier New"/>
      <w:noProof/>
      <w:color w:val="auto"/>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techsmith.com/jing.html"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939</Words>
  <Characters>5354</Characters>
  <Application>Microsoft Macintosh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dc:creator>
  <cp:lastModifiedBy>Daniel Richards</cp:lastModifiedBy>
  <cp:revision>2</cp:revision>
  <dcterms:created xsi:type="dcterms:W3CDTF">2014-10-15T21:09:00Z</dcterms:created>
  <dcterms:modified xsi:type="dcterms:W3CDTF">2014-10-15T21:09:00Z</dcterms:modified>
</cp:coreProperties>
</file>